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0DE" w14:textId="77777777" w:rsidR="00173E7B" w:rsidRPr="00173E7B" w:rsidRDefault="00173E7B" w:rsidP="00173E7B">
      <w:pPr>
        <w:bidi/>
        <w:spacing w:after="0" w:line="750" w:lineRule="atLeast"/>
        <w:ind w:left="720"/>
        <w:jc w:val="both"/>
        <w:rPr>
          <w:rFonts w:ascii="IRANSans_Fa" w:eastAsia="Times New Roman" w:hAnsi="IRANSans_Fa" w:cs="B Zar"/>
          <w:b/>
          <w:bCs/>
          <w:color w:val="282F3B"/>
          <w:kern w:val="0"/>
          <w:sz w:val="28"/>
          <w:szCs w:val="28"/>
          <w14:ligatures w14:val="none"/>
        </w:rPr>
      </w:pPr>
      <w:r w:rsidRPr="00173E7B">
        <w:rPr>
          <w:rFonts w:ascii="IRANSans_Fa" w:eastAsia="Times New Roman" w:hAnsi="IRANSans_Fa" w:cs="B Zar"/>
          <w:b/>
          <w:bCs/>
          <w:color w:val="282F3B"/>
          <w:kern w:val="0"/>
          <w:sz w:val="28"/>
          <w:szCs w:val="28"/>
          <w:rtl/>
          <w14:ligatures w14:val="none"/>
        </w:rPr>
        <w:t>خدمات قابل ارائه در مرکز</w:t>
      </w:r>
    </w:p>
    <w:p w14:paraId="084E6FF4" w14:textId="77777777" w:rsidR="00173E7B" w:rsidRDefault="00173E7B" w:rsidP="00173E7B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سرمایه گذاران خارجـی با مراجـعه بـه مرکز خدمات سرمایه گذاری و طـی جـلسات حضـوری با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کارشناسان این مرکز با مزایا و تسهیلات قانون تشویق و حمایـت سرمایه گذاری خارجی و همچنین مراحل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مربوط به اخذ مجوز سرمایه گذاری خارجی آشنا میشوند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558A6C90" w14:textId="77777777" w:rsidR="00815949" w:rsidRDefault="00173E7B" w:rsidP="00815949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این مرکز همچنین پاسخگوی سؤالات متقاضیان سرمایه گذاری در زمینه های مرتبـط با دستگاه های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اجـرایی مستقـر در مرکـز مـی باشد مضافـا سـرمایه گـذاران خارجـی مـی توانند از راهنمـایی ها ومساعدت</w:t>
      </w:r>
      <w:r w:rsidR="0081594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های مرکـز خدمات در جـهت ایجـاد ارتبـاط بـا دیگـرسازمـان ها و وزارتخـانه های مرتـبط با موضوع پروژه</w:t>
      </w:r>
      <w:r w:rsidR="0081594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بهره مند گردند</w:t>
      </w:r>
      <w:r w:rsidR="0081594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.</w:t>
      </w:r>
    </w:p>
    <w:p w14:paraId="7E4F403C" w14:textId="24C0CB79" w:rsidR="00173E7B" w:rsidRPr="00173E7B" w:rsidRDefault="00173E7B" w:rsidP="00815949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سازماندهی امور و گردش کار در مرکز خدمات به گونه ای اسـت که سرمـایه گذاران خارجی به کـلیه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اطـلاعات و راهکـارهای لازم دسترسـی پیـدا مـی نمایند و نیـازی به مراجـعات مکـرر به دستگـاه های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اجـرایی گوناگـون وجـود نـدارد. مسئولیت خدمـات رسانی در مرکز تنها به مراحل قبل از اخذ تصمیم به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سرمایه‌گذاری محدود نمی شود بلکـه سرمایه گـذاران محترم در طـول مراحل سرمایه گذاری خود مـی</w:t>
      </w:r>
      <w:r w:rsidR="00F84D99">
        <w:rPr>
          <w:rFonts w:ascii="IRANSans_Fa" w:eastAsia="Times New Roman" w:hAnsi="IRANSans_Fa" w:cs="B Zar" w:hint="eastAsia"/>
          <w:kern w:val="0"/>
          <w:sz w:val="28"/>
          <w:szCs w:val="28"/>
          <w:rtl/>
          <w14:ligatures w14:val="none"/>
        </w:rPr>
        <w:t>‌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توانند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به مرکز خدمات سرمایه گذاری مراجعه و از خدمات آن بهره مند شوند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.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br/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عـلاوه بر این، این مرکز آمادگـی دارد تـا فـرم تکـمیل شـده در خـواسـت سـرمـایه گـذاری خارجی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(Application Form)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و سایر مدارک تهیه شده را قـبل از ارائـه رسـمی به سـازمان سرمایه گـذاری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مورد بررسی قرار داده و رفع نقص نماید. در مجموع خدمات قابل ارائه به سرمایه‌گذاران خارجی در دو برهه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قبل از اخذ مجوز و پس از اخذ مجوز سرمایه‌گذاری خارجی است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:</w:t>
      </w:r>
    </w:p>
    <w:p w14:paraId="4160445E" w14:textId="77777777" w:rsidR="00173E7B" w:rsidRPr="00173E7B" w:rsidRDefault="00173E7B" w:rsidP="00173E7B">
      <w:pPr>
        <w:bidi/>
        <w:spacing w:after="0" w:line="570" w:lineRule="atLeast"/>
        <w:ind w:left="720"/>
        <w:jc w:val="both"/>
        <w:outlineLvl w:val="2"/>
        <w:rPr>
          <w:rFonts w:ascii="IRANSans_Fa" w:eastAsia="Times New Roman" w:hAnsi="IRANSans_Fa" w:cs="B Zar"/>
          <w:b/>
          <w:bCs/>
          <w:color w:val="282F3B"/>
          <w:kern w:val="0"/>
          <w:sz w:val="28"/>
          <w:szCs w:val="28"/>
          <w14:ligatures w14:val="none"/>
        </w:rPr>
      </w:pPr>
      <w:hyperlink r:id="rId4" w:history="1">
        <w:r w:rsidRPr="00173E7B">
          <w:rPr>
            <w:rFonts w:ascii="IRANSans_Fa" w:eastAsia="Times New Roman" w:hAnsi="IRANSans_Fa" w:cs="B Zar"/>
            <w:b/>
            <w:bCs/>
            <w:color w:val="282F3B"/>
            <w:kern w:val="0"/>
            <w:sz w:val="28"/>
            <w:szCs w:val="28"/>
            <w:u w:val="single"/>
            <w:rtl/>
            <w14:ligatures w14:val="none"/>
          </w:rPr>
          <w:t>الف) قبل از اخذ مجوز سرمایه گذاری خارجی</w:t>
        </w:r>
      </w:hyperlink>
    </w:p>
    <w:p w14:paraId="252BACAE" w14:textId="16C29A7A" w:rsidR="00173E7B" w:rsidRPr="00173E7B" w:rsidRDefault="00173E7B" w:rsidP="00173E7B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اطلاع رسانی و ارائه مشورتهای لازم به سرمایه گذاران در زمینه های مربوط به پذیرش و حمایت از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سرمایه‌گذاری خارجی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هماهنگی و پشتیبانی لازم برای اخذ مجوزهای مورد نیاز سرمایه گذاران داخلی و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خارجی از دستگاه‌های ذی‌ربط پیش از صدور مجوز سرمایه‌گذاری خارجی،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هماهنگی با سازمان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سرمایه‌گذاری برای صدور مجوز سرمایه‌گذاری خارجی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178C6395" w14:textId="77777777" w:rsidR="00173E7B" w:rsidRPr="00173E7B" w:rsidRDefault="00173E7B" w:rsidP="00173E7B">
      <w:pPr>
        <w:bidi/>
        <w:spacing w:after="0" w:line="570" w:lineRule="atLeast"/>
        <w:ind w:left="720"/>
        <w:jc w:val="both"/>
        <w:outlineLvl w:val="2"/>
        <w:rPr>
          <w:rFonts w:ascii="IRANSans_Fa" w:eastAsia="Times New Roman" w:hAnsi="IRANSans_Fa" w:cs="B Zar"/>
          <w:b/>
          <w:bCs/>
          <w:color w:val="282F3B"/>
          <w:kern w:val="0"/>
          <w:sz w:val="28"/>
          <w:szCs w:val="28"/>
          <w14:ligatures w14:val="none"/>
        </w:rPr>
      </w:pPr>
      <w:hyperlink r:id="rId5" w:history="1">
        <w:r w:rsidRPr="00173E7B">
          <w:rPr>
            <w:rFonts w:ascii="IRANSans_Fa" w:eastAsia="Times New Roman" w:hAnsi="IRANSans_Fa" w:cs="B Zar"/>
            <w:b/>
            <w:bCs/>
            <w:color w:val="282F3B"/>
            <w:kern w:val="0"/>
            <w:sz w:val="28"/>
            <w:szCs w:val="28"/>
            <w:u w:val="single"/>
            <w:rtl/>
            <w14:ligatures w14:val="none"/>
          </w:rPr>
          <w:t>ب) پس از اخذ مجوز سرمایه‌گذاری خارجی</w:t>
        </w:r>
      </w:hyperlink>
    </w:p>
    <w:p w14:paraId="7FD512D5" w14:textId="2241A1E5" w:rsidR="00173E7B" w:rsidRPr="00173E7B" w:rsidRDefault="00173E7B" w:rsidP="00173E7B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lastRenderedPageBreak/>
        <w:t>رفع مشکلات سرمایه گذاران پس از اخذ مجوز از طریق ایجاد هماهنگی با دستگاههای ذی‌ربط پس از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صدور مجوز،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بهره‌گیری از حمایت‌های استاندار در جهت مشکلات موجود در دستگاه‌های اجرایی،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نظارت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و راهبری طرحهای سرمایه گذاری ارجاع شده از طرف سازمان سرمایه‌گذاری،</w:t>
      </w:r>
    </w:p>
    <w:p w14:paraId="2C406F10" w14:textId="77777777" w:rsidR="00173E7B" w:rsidRPr="00173E7B" w:rsidRDefault="00173E7B" w:rsidP="00173E7B">
      <w:pPr>
        <w:bidi/>
        <w:spacing w:after="0" w:line="570" w:lineRule="atLeast"/>
        <w:ind w:left="720"/>
        <w:jc w:val="both"/>
        <w:outlineLvl w:val="2"/>
        <w:rPr>
          <w:rFonts w:ascii="IRANSans_Fa" w:eastAsia="Times New Roman" w:hAnsi="IRANSans_Fa" w:cs="B Zar"/>
          <w:b/>
          <w:bCs/>
          <w:color w:val="282F3B"/>
          <w:kern w:val="0"/>
          <w:sz w:val="28"/>
          <w:szCs w:val="28"/>
          <w14:ligatures w14:val="none"/>
        </w:rPr>
      </w:pPr>
      <w:hyperlink r:id="rId6" w:history="1">
        <w:r w:rsidRPr="00173E7B">
          <w:rPr>
            <w:rFonts w:ascii="IRANSans_Fa" w:eastAsia="Times New Roman" w:hAnsi="IRANSans_Fa" w:cs="B Zar"/>
            <w:b/>
            <w:bCs/>
            <w:color w:val="282F3B"/>
            <w:kern w:val="0"/>
            <w:sz w:val="28"/>
            <w:szCs w:val="28"/>
            <w:u w:val="single"/>
            <w:rtl/>
            <w14:ligatures w14:val="none"/>
          </w:rPr>
          <w:t>همچنین در امور اجرایی و محتوایی خدمات زیر توسط مرکز خدمات سرمایه‌گذاری ارائه می‌شود</w:t>
        </w:r>
        <w:r w:rsidRPr="00173E7B">
          <w:rPr>
            <w:rFonts w:ascii="IRANSans_Fa" w:eastAsia="Times New Roman" w:hAnsi="IRANSans_Fa" w:cs="B Zar"/>
            <w:b/>
            <w:bCs/>
            <w:color w:val="282F3B"/>
            <w:kern w:val="0"/>
            <w:sz w:val="28"/>
            <w:szCs w:val="28"/>
            <w:u w:val="single"/>
            <w14:ligatures w14:val="none"/>
          </w:rPr>
          <w:t xml:space="preserve"> :</w:t>
        </w:r>
      </w:hyperlink>
    </w:p>
    <w:p w14:paraId="0E60FD54" w14:textId="77777777" w:rsidR="00F84D99" w:rsidRDefault="00173E7B" w:rsidP="00173E7B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شناسایی و گردآوری فرصتهای سرمایه گذاری استان،</w:t>
      </w:r>
      <w:r w:rsidR="00F84D9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</w:p>
    <w:p w14:paraId="1AE0795F" w14:textId="77777777" w:rsidR="00F84D99" w:rsidRDefault="00173E7B" w:rsidP="00F84D99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تهیه کتاب راهنمای سرمایه گذاری استان و تبیین گردش کار مراحل سرمایه‌گذاری،</w:t>
      </w:r>
    </w:p>
    <w:p w14:paraId="3CBAD4CC" w14:textId="77777777" w:rsidR="00F84D99" w:rsidRDefault="00173E7B" w:rsidP="00F84D99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برگزاری کارگاه های آموزشی در زمینه های مرتبط با سرمایه‌گذاری برای فعالان اقتصادی و مسئولان و کارشناسان دستگاه‌های اجرایی به منظور آشنایی با موضوع سرمایه‌گذاری و روش‌های تأمین مالی خارجی،</w:t>
      </w:r>
    </w:p>
    <w:p w14:paraId="3EF1920D" w14:textId="11E942F8" w:rsidR="00173E7B" w:rsidRPr="00173E7B" w:rsidRDefault="00173E7B" w:rsidP="00F84D99">
      <w:pPr>
        <w:bidi/>
        <w:spacing w:after="225" w:line="390" w:lineRule="atLeast"/>
        <w:ind w:left="720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معرفی استان و توانمندیهای اقتصادی آن با بکارگیری ابزارهای تبلیغاتی و اطلاع رسانی،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br/>
        <w:t xml:space="preserve">- </w:t>
      </w:r>
      <w:r w:rsidRPr="00173E7B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فرهنگ سازی و مساعد نمودن فضای سرمایه گذاری در استان</w:t>
      </w:r>
      <w:r w:rsidRPr="00173E7B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218D2A06" w14:textId="77777777" w:rsidR="006547C7" w:rsidRPr="00173E7B" w:rsidRDefault="006547C7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3380D2DC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7D1B8684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569DD7A9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186CF364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7A3FFBB5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6B7F5806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0FDBE2F9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51A23C1B" w14:textId="77777777" w:rsidR="00173E7B" w:rsidRPr="00173E7B" w:rsidRDefault="00173E7B" w:rsidP="00173E7B">
      <w:pPr>
        <w:bidi/>
        <w:ind w:left="720"/>
        <w:jc w:val="both"/>
        <w:rPr>
          <w:rFonts w:cs="B Zar"/>
          <w:sz w:val="28"/>
          <w:szCs w:val="28"/>
        </w:rPr>
      </w:pPr>
    </w:p>
    <w:p w14:paraId="1621DCDD" w14:textId="2C22D0F2" w:rsidR="00173E7B" w:rsidRPr="00173E7B" w:rsidRDefault="00173E7B" w:rsidP="00173E7B">
      <w:pPr>
        <w:tabs>
          <w:tab w:val="left" w:pos="7575"/>
        </w:tabs>
        <w:bidi/>
        <w:ind w:left="720"/>
        <w:jc w:val="both"/>
        <w:rPr>
          <w:rFonts w:cs="B Zar"/>
          <w:sz w:val="28"/>
          <w:szCs w:val="28"/>
        </w:rPr>
      </w:pPr>
      <w:r w:rsidRPr="00173E7B">
        <w:rPr>
          <w:rFonts w:cs="B Zar"/>
          <w:sz w:val="28"/>
          <w:szCs w:val="28"/>
        </w:rPr>
        <w:tab/>
      </w:r>
    </w:p>
    <w:sectPr w:rsidR="00173E7B" w:rsidRPr="00173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_Fa">
    <w:altName w:val="Cambria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7B"/>
    <w:rsid w:val="00116054"/>
    <w:rsid w:val="00173E7B"/>
    <w:rsid w:val="003E3F2B"/>
    <w:rsid w:val="004A76DC"/>
    <w:rsid w:val="006547C7"/>
    <w:rsid w:val="006B1B0A"/>
    <w:rsid w:val="00815949"/>
    <w:rsid w:val="00922064"/>
    <w:rsid w:val="00BD2F74"/>
    <w:rsid w:val="00C42B0F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64B3"/>
  <w15:chartTrackingRefBased/>
  <w15:docId w15:val="{AAFB3230-77E8-4A07-BA0B-D2F3F2B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3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E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E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E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E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E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73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estinyazd.ir/services/" TargetMode="External"/><Relationship Id="rId5" Type="http://schemas.openxmlformats.org/officeDocument/2006/relationships/hyperlink" Target="https://investinyazd.ir/services/" TargetMode="External"/><Relationship Id="rId4" Type="http://schemas.openxmlformats.org/officeDocument/2006/relationships/hyperlink" Target="https://investinyazd.ir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mobini</dc:creator>
  <cp:keywords/>
  <dc:description/>
  <cp:lastModifiedBy>mostafa mobini</cp:lastModifiedBy>
  <cp:revision>2</cp:revision>
  <dcterms:created xsi:type="dcterms:W3CDTF">2025-11-08T08:59:00Z</dcterms:created>
  <dcterms:modified xsi:type="dcterms:W3CDTF">2025-11-08T09:14:00Z</dcterms:modified>
</cp:coreProperties>
</file>