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5584"/>
        <w:gridCol w:w="5584"/>
      </w:tblGrid>
      <w:tr>
        <w:trPr>
          <w:trHeight w:val="369"/>
          <w:cantSplit/>
        </w:trPr>
        <w:tc>
          <w:tcPr>
            <w:tcW w:type="dxa" w:w="11141"/>
            <w:vAlign w:val="center"/>
            <w:tcMar>
              <w:top w:w="55" w:type="dxa"/>
              <w:start w:w="70" w:type="dxa"/>
              <w:bottom w:w="55" w:type="dxa"/>
              <w:end w:w="70" w:type="dxa"/>
            </w:tcMar>
            <w:gridSpan w:val="2"/>
            <w:tcBorders>
              <w:top w:val="single" w:sz="5" w:color="808080"/>
              <w:left w:val="single" w:sz="5" w:color="808080"/>
              <w:bottom w:val="single" w:sz="5" w:color="808080"/>
              <w:right w:val="single" w:sz="5" w:color="808080"/>
            </w:tcBorders>
          </w:tcPr>
          <w:p>
            <w:pPr>
              <w:keepNext w:val="0"/>
              <w:keepLines/>
              <w:spacing w:after="0" w:before="0" w:line="240" w:lineRule="auto"/>
              <w:jc w:val="center"/>
            </w:pPr>
            <w:r>
              <w:rPr>
                <w:rFonts w:ascii="Arial" w:hAnsi="Arial"/>
                <w:b/>
                <w:color w:val="000000"/>
                <w:sz w:val="21"/>
              </w:rPr>
              <w:t>INVESTMENT OPPORTUNITY FORM WITHOUT PROJECT NAME (INVESTMENT-READY PROJECT)</w:t>
            </w:r>
          </w:p>
        </w:tc>
      </w:tr>
      <w:tr>
        <w:trPr>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jc w:val="center"/>
            </w:pPr>
            <w:r>
              <w:rPr>
                <w:sz w:val="17"/>
              </w:rPr>
              <w:t>1</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7"/>
              </w:rPr>
              <w:t xml:space="preserve">Provincial Vision at the Project Location in the Province's Industry: </w:t>
            </w:r>
            <w:r>
              <w:rPr>
                <w:rFonts w:ascii="Arial" w:hAnsi="Arial"/>
                <w:b w:val="0"/>
                <w:color w:val="C00000"/>
                <w:sz w:val="17"/>
              </w:rPr>
              <w:t>—</w:t>
            </w:r>
          </w:p>
        </w:tc>
      </w:tr>
      <w:tr>
        <w:trPr>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jc w:val="center"/>
            </w:pPr>
            <w:r>
              <w:rPr>
                <w:sz w:val="17"/>
              </w:rPr>
              <w:t>2</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7"/>
              </w:rPr>
              <w:t xml:space="preserve">Project Title: </w:t>
            </w:r>
            <w:r>
              <w:rPr>
                <w:rFonts w:ascii="Arial" w:hAnsi="Arial"/>
                <w:b w:val="0"/>
                <w:color w:val="C00000"/>
                <w:sz w:val="17"/>
              </w:rPr>
              <w:t>Production of Cotton Fabric – ISIC Code 1711512448</w:t>
            </w:r>
          </w:p>
        </w:tc>
      </w:tr>
      <w:tr>
        <w:trPr>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jc w:val="center"/>
            </w:pPr>
            <w:r>
              <w:rPr>
                <w:sz w:val="17"/>
              </w:rPr>
              <w:t>3</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7"/>
              </w:rPr>
              <w:t xml:space="preserve">Economic Sector: </w:t>
            </w:r>
            <w:r>
              <w:rPr>
                <w:rFonts w:ascii="Arial" w:hAnsi="Arial"/>
                <w:b w:val="0"/>
                <w:color w:val="C00000"/>
                <w:sz w:val="17"/>
              </w:rPr>
              <w:t>Industry</w:t>
            </w:r>
            <w:r>
              <w:rPr>
                <w:rFonts w:ascii="Arial" w:hAnsi="Arial"/>
                <w:b/>
                <w:color w:val="000000"/>
                <w:sz w:val="17"/>
              </w:rPr>
              <w:t xml:space="preserve">     Economic Subsector: </w:t>
            </w:r>
            <w:r>
              <w:rPr>
                <w:rFonts w:ascii="Arial" w:hAnsi="Arial"/>
                <w:b w:val="0"/>
                <w:color w:val="C00000"/>
                <w:sz w:val="17"/>
              </w:rPr>
              <w:t>Textile &amp; Apparel</w:t>
            </w:r>
          </w:p>
        </w:tc>
      </w:tr>
      <w:tr>
        <w:trPr>
          <w:trHeight w:val="2976"/>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pPr>
            <w:r>
              <w:t>4</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6"/>
              </w:rPr>
              <w:t xml:space="preserve">Project Description: </w:t>
            </w:r>
            <w:r>
              <w:rPr>
                <w:rFonts w:ascii="Arial" w:hAnsi="Arial"/>
                <w:b w:val="0"/>
                <w:color w:val="C00000"/>
                <w:sz w:val="16"/>
              </w:rPr>
              <w:t>Today, clothing, like food and housing, is one of the basic human needs and its consumption is largely influenced by household income. One of the main reasons for the importance of the textile industry is the population's high demand for this industry’s products. With population growth and a tendency toward new products, domestic and foreign markets are witnessing increasing demand. In the current conditions, when many countries around the world are joining the World Trade Organization and increasing exports, the situation of many production centers has become critical and governments have taken measures to modernize factories and create new production facilities. The textile industry requires special attention because of its significant employment potential, large investment base, and need for continuous technological development. The proposed cotton-fabric project can help strengthen the textile industry, create employment, modernize production lines, and improve the quality and competitiveness of domestic products. Modern machinery and up-to-date technology, together with appropriate technical knowledge, are required to produce high-quality fabric at competitive prices. Cotton fabric is among the most popular fabrics because of its high water absorption and comfort. It is relatively inexpensive, dries quickly, and can be used throughout the year; its use is particularly common in warm and dry seasons.</w:t>
            </w:r>
          </w:p>
        </w:tc>
      </w:tr>
      <w:tr>
        <w:trPr>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pPr>
            <w:r>
              <w:t>5</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6"/>
              </w:rPr>
              <w:t xml:space="preserve">Industrial Feasibility Studies: </w:t>
            </w:r>
            <w:r>
              <w:rPr>
                <w:rFonts w:ascii="Arial" w:hAnsi="Arial"/>
                <w:b w:val="0"/>
                <w:color w:val="C00000"/>
                <w:sz w:val="16"/>
              </w:rPr>
              <w:t>Based on preliminary studies and feasibility assessments, this project has been proposed by the provincial industrial estates company.</w:t>
            </w:r>
          </w:p>
        </w:tc>
      </w:tr>
      <w:tr>
        <w:trPr>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pPr>
            <w:r>
              <w:t>6</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6"/>
              </w:rPr>
              <w:t xml:space="preserve">Product / Service: </w:t>
            </w:r>
            <w:r>
              <w:rPr>
                <w:rFonts w:ascii="Arial" w:hAnsi="Arial"/>
                <w:b w:val="0"/>
                <w:color w:val="C00000"/>
                <w:sz w:val="16"/>
              </w:rPr>
              <w:t>Production of Cotton Fabric</w:t>
            </w:r>
          </w:p>
        </w:tc>
      </w:tr>
      <w:tr>
        <w:trPr>
          <w:trHeight w:val="1134"/>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pPr>
            <w:r>
              <w:t>7</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6"/>
              </w:rPr>
              <w:t xml:space="preserve">Project Location / Location Specifications: </w:t>
            </w:r>
            <w:r>
              <w:rPr>
                <w:rFonts w:ascii="Arial" w:hAnsi="Arial"/>
                <w:b w:val="0"/>
                <w:color w:val="C00000"/>
                <w:sz w:val="16"/>
              </w:rPr>
              <w:t>Ilam Province</w:t>
            </w:r>
            <w:r>
              <w:rPr>
                <w:rFonts w:ascii="Arial" w:hAnsi="Arial"/>
                <w:b/>
                <w:color w:val="000000"/>
                <w:sz w:val="16"/>
              </w:rPr>
              <w:br/>
              <w:t xml:space="preserve">Land Area: </w:t>
            </w:r>
            <w:r>
              <w:rPr>
                <w:rFonts w:ascii="Arial" w:hAnsi="Arial"/>
                <w:b w:val="0"/>
                <w:color w:val="C00000"/>
                <w:sz w:val="16"/>
              </w:rPr>
              <w:t>10,000 m²</w:t>
            </w:r>
            <w:r>
              <w:rPr>
                <w:rFonts w:ascii="Arial" w:hAnsi="Arial"/>
                <w:b/>
                <w:color w:val="000000"/>
                <w:sz w:val="16"/>
              </w:rPr>
              <w:t xml:space="preserve">     Required Building Area: </w:t>
            </w:r>
            <w:r>
              <w:rPr>
                <w:rFonts w:ascii="Arial" w:hAnsi="Arial"/>
                <w:b w:val="0"/>
                <w:color w:val="C00000"/>
                <w:sz w:val="16"/>
              </w:rPr>
              <w:t>2,850 m²</w:t>
            </w:r>
            <w:r>
              <w:rPr>
                <w:rFonts w:ascii="Arial" w:hAnsi="Arial"/>
                <w:b/>
                <w:color w:val="000000"/>
                <w:sz w:val="16"/>
              </w:rPr>
              <w:br/>
              <w:t xml:space="preserve">Ownership: </w:t>
            </w:r>
            <w:r>
              <w:rPr>
                <w:rFonts w:ascii="Arial" w:hAnsi="Arial"/>
                <w:b w:val="0"/>
                <w:color w:val="C00000"/>
                <w:sz w:val="16"/>
              </w:rPr>
              <w:t>Ilam Industrial Estates Company</w:t>
            </w:r>
            <w:r>
              <w:rPr>
                <w:rFonts w:ascii="Arial" w:hAnsi="Arial"/>
                <w:b/>
                <w:color w:val="000000"/>
                <w:sz w:val="16"/>
              </w:rPr>
              <w:br/>
              <w:t xml:space="preserve">Allocation Method: </w:t>
            </w:r>
            <w:r>
              <w:rPr>
                <w:rFonts w:ascii="Arial" w:hAnsi="Arial"/>
                <w:b w:val="0"/>
                <w:color w:val="C00000"/>
                <w:sz w:val="16"/>
              </w:rPr>
              <w:t>According to the terms and procedures of the Ministry of Industry, Mine and Trade.</w:t>
            </w:r>
          </w:p>
        </w:tc>
      </w:tr>
      <w:tr>
        <w:trPr>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pPr>
            <w:r>
              <w:t>8</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6"/>
              </w:rPr>
              <w:t>Required Utilities / Inputs:</w:t>
              <w:br/>
            </w:r>
            <w:r>
              <w:rPr>
                <w:rFonts w:ascii="Arial" w:hAnsi="Arial"/>
                <w:b/>
                <w:color w:val="000000"/>
                <w:sz w:val="16"/>
              </w:rPr>
              <w:t xml:space="preserve">Water consumption: </w:t>
            </w:r>
            <w:r>
              <w:rPr>
                <w:rFonts w:ascii="Arial" w:hAnsi="Arial"/>
                <w:b w:val="0"/>
                <w:color w:val="C00000"/>
                <w:sz w:val="16"/>
              </w:rPr>
              <w:t>14,000 m³/year</w:t>
            </w:r>
            <w:r>
              <w:rPr>
                <w:rFonts w:ascii="Arial" w:hAnsi="Arial"/>
                <w:b/>
                <w:color w:val="000000"/>
                <w:sz w:val="16"/>
              </w:rPr>
              <w:t xml:space="preserve">     Electricity consumption: </w:t>
            </w:r>
            <w:r>
              <w:rPr>
                <w:rFonts w:ascii="Arial" w:hAnsi="Arial"/>
                <w:b w:val="0"/>
                <w:color w:val="C00000"/>
                <w:sz w:val="16"/>
              </w:rPr>
              <w:t>400 kW</w:t>
            </w:r>
            <w:r>
              <w:rPr>
                <w:rFonts w:ascii="Arial" w:hAnsi="Arial"/>
                <w:b/>
                <w:color w:val="000000"/>
                <w:sz w:val="16"/>
              </w:rPr>
              <w:t xml:space="preserve">     Gas consumption: </w:t>
            </w:r>
            <w:r>
              <w:rPr>
                <w:rFonts w:ascii="Arial" w:hAnsi="Arial"/>
                <w:b w:val="0"/>
                <w:color w:val="C00000"/>
                <w:sz w:val="16"/>
              </w:rPr>
              <w:t>80,000 m³/year</w:t>
            </w:r>
          </w:p>
        </w:tc>
      </w:tr>
      <w:tr>
        <w:trPr>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pPr>
            <w:r>
              <w:t>9</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6"/>
              </w:rPr>
              <w:t xml:space="preserve">Required Permits and Inquiries for this Investment Opportunity: </w:t>
            </w:r>
            <w:r>
              <w:rPr>
                <w:rFonts w:ascii="Arial" w:hAnsi="Arial"/>
                <w:b w:val="0"/>
                <w:color w:val="C00000"/>
                <w:sz w:val="16"/>
              </w:rPr>
              <w:t>Issuance of an industrial establishment permit by the Provincial Department of Industry, Mine and Trade, and provision of the required infrastructure by the Ilam Industrial Estates Company.</w:t>
            </w:r>
          </w:p>
        </w:tc>
      </w:tr>
      <w:tr>
        <w:trPr>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pPr>
            <w:r>
              <w:t>10</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6"/>
              </w:rPr>
              <w:t xml:space="preserve">Expected Project Capacity: </w:t>
            </w:r>
            <w:r>
              <w:rPr>
                <w:rFonts w:ascii="Arial" w:hAnsi="Arial"/>
                <w:b w:val="0"/>
                <w:color w:val="C00000"/>
                <w:sz w:val="16"/>
              </w:rPr>
              <w:t>2 million m²/year</w:t>
            </w:r>
          </w:p>
        </w:tc>
      </w:tr>
      <w:tr>
        <w:trPr>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pPr>
            <w:r>
              <w:t>11</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6"/>
              </w:rPr>
              <w:t xml:space="preserve">Project Implementation Period: </w:t>
            </w:r>
            <w:r>
              <w:rPr>
                <w:rFonts w:ascii="Arial" w:hAnsi="Arial"/>
                <w:b w:val="0"/>
                <w:color w:val="C00000"/>
                <w:sz w:val="16"/>
              </w:rPr>
              <w:t>25 months</w:t>
            </w:r>
          </w:p>
        </w:tc>
      </w:tr>
      <w:tr>
        <w:trPr>
          <w:trHeight w:val="1701"/>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pPr>
            <w:r>
              <w:t>12</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6"/>
              </w:rPr>
              <w:t>Incentives and Available Support:</w:t>
              <w:br/>
            </w:r>
            <w:r>
              <w:rPr>
                <w:rFonts w:ascii="Arial" w:hAnsi="Arial"/>
                <w:b w:val="0"/>
                <w:color w:val="C00000"/>
                <w:sz w:val="16"/>
              </w:rPr>
              <w:t>• Tax exemptions</w:t>
              <w:br/>
            </w:r>
            <w:r>
              <w:rPr>
                <w:rFonts w:ascii="Arial" w:hAnsi="Arial"/>
                <w:b w:val="0"/>
                <w:color w:val="C00000"/>
                <w:sz w:val="16"/>
              </w:rPr>
              <w:t>• Use of Article 4/Tabṣareh financing facilities, subject to funding availability and priority</w:t>
              <w:br/>
            </w:r>
            <w:r>
              <w:rPr>
                <w:rFonts w:ascii="Arial" w:hAnsi="Arial"/>
                <w:b w:val="0"/>
                <w:color w:val="C00000"/>
                <w:sz w:val="16"/>
              </w:rPr>
              <w:t>• Special discounts on the price of the required allocable land and provision of long-term installment payments</w:t>
              <w:br/>
            </w:r>
            <w:r>
              <w:rPr>
                <w:rFonts w:ascii="Arial" w:hAnsi="Arial"/>
                <w:b w:val="0"/>
                <w:color w:val="C00000"/>
                <w:sz w:val="16"/>
              </w:rPr>
              <w:t>• Provision of the infrastructure required by the project in the provincial industrial estates</w:t>
              <w:br/>
            </w:r>
            <w:r>
              <w:rPr>
                <w:rFonts w:ascii="Arial" w:hAnsi="Arial"/>
                <w:b w:val="0"/>
                <w:color w:val="C00000"/>
                <w:sz w:val="16"/>
              </w:rPr>
              <w:t>• Possibility of exporting manufactured products, considering the international status of Mehran</w:t>
            </w:r>
          </w:p>
        </w:tc>
      </w:tr>
      <w:tr>
        <w:trPr>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pPr>
            <w:r>
              <w:t>13</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6"/>
              </w:rPr>
              <w:t xml:space="preserve">Value of Required Machinery, Technical Equipment and Technical Know-How: </w:t>
            </w:r>
            <w:r>
              <w:rPr>
                <w:rFonts w:ascii="Arial" w:hAnsi="Arial"/>
                <w:b w:val="0"/>
                <w:color w:val="C00000"/>
                <w:sz w:val="16"/>
              </w:rPr>
              <w:t>USD 11 million</w:t>
            </w:r>
          </w:p>
        </w:tc>
      </w:tr>
      <w:tr>
        <w:trPr>
          <w:trHeight w:val="2268"/>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pPr>
            <w:r>
              <w:t>14</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6"/>
              </w:rPr>
              <w:t>Estimated Financial Structure:</w:t>
              <w:br/>
            </w:r>
            <w:r>
              <w:rPr>
                <w:rFonts w:ascii="Arial" w:hAnsi="Arial"/>
                <w:b/>
                <w:color w:val="000000"/>
                <w:sz w:val="16"/>
              </w:rPr>
              <w:t xml:space="preserve">Required Domestic Capital: </w:t>
            </w:r>
            <w:r>
              <w:rPr>
                <w:rFonts w:ascii="Arial" w:hAnsi="Arial"/>
                <w:b w:val="0"/>
                <w:color w:val="C00000"/>
                <w:sz w:val="16"/>
              </w:rPr>
              <w:t>Equivalent to USD 2.2 million</w:t>
              <w:br/>
            </w:r>
            <w:r>
              <w:rPr>
                <w:rFonts w:ascii="Arial" w:hAnsi="Arial"/>
                <w:b/>
                <w:color w:val="000000"/>
                <w:sz w:val="16"/>
              </w:rPr>
              <w:t xml:space="preserve">Required Foreign Capital: </w:t>
            </w:r>
            <w:r>
              <w:rPr>
                <w:rFonts w:ascii="Arial" w:hAnsi="Arial"/>
                <w:b w:val="0"/>
                <w:color w:val="C00000"/>
                <w:sz w:val="16"/>
              </w:rPr>
              <w:t>—</w:t>
              <w:br/>
            </w:r>
            <w:r>
              <w:rPr>
                <w:rFonts w:ascii="Arial" w:hAnsi="Arial"/>
                <w:b/>
                <w:color w:val="000000"/>
                <w:sz w:val="16"/>
              </w:rPr>
              <w:t xml:space="preserve">Total Required Capital: </w:t>
            </w:r>
            <w:r>
              <w:rPr>
                <w:rFonts w:ascii="Arial" w:hAnsi="Arial"/>
                <w:b w:val="0"/>
                <w:color w:val="C00000"/>
                <w:sz w:val="16"/>
              </w:rPr>
              <w:t>Equivalent to USD 3.1 million (USD 2.2 million fixed capital + USD 0.9 million working capital)</w:t>
              <w:br/>
            </w:r>
            <w:r>
              <w:rPr>
                <w:rFonts w:ascii="Arial" w:hAnsi="Arial"/>
                <w:b/>
                <w:color w:val="000000"/>
                <w:sz w:val="16"/>
              </w:rPr>
              <w:t xml:space="preserve">Net Present Value: </w:t>
            </w:r>
            <w:r>
              <w:rPr>
                <w:rFonts w:ascii="Arial" w:hAnsi="Arial"/>
                <w:b w:val="0"/>
                <w:color w:val="C00000"/>
                <w:sz w:val="16"/>
              </w:rPr>
              <w:t>758,881 million IRR</w:t>
              <w:br/>
            </w:r>
            <w:r>
              <w:rPr>
                <w:rFonts w:ascii="Arial" w:hAnsi="Arial"/>
                <w:b/>
                <w:color w:val="000000"/>
                <w:sz w:val="16"/>
              </w:rPr>
              <w:t xml:space="preserve">Domestic Rate of Return: </w:t>
            </w:r>
            <w:r>
              <w:rPr>
                <w:rFonts w:ascii="Arial" w:hAnsi="Arial"/>
                <w:b w:val="0"/>
                <w:color w:val="C00000"/>
                <w:sz w:val="16"/>
              </w:rPr>
              <w:t>31%</w:t>
              <w:br/>
            </w:r>
            <w:r>
              <w:rPr>
                <w:rFonts w:ascii="Arial" w:hAnsi="Arial"/>
                <w:b/>
                <w:color w:val="000000"/>
                <w:sz w:val="16"/>
              </w:rPr>
              <w:t xml:space="preserve">Capital Payback Period: </w:t>
            </w:r>
            <w:r>
              <w:rPr>
                <w:rFonts w:ascii="Arial" w:hAnsi="Arial"/>
                <w:b w:val="0"/>
                <w:color w:val="C00000"/>
                <w:sz w:val="16"/>
              </w:rPr>
              <w:t>3.19 years</w:t>
            </w:r>
          </w:p>
        </w:tc>
      </w:tr>
      <w:tr>
        <w:trPr>
          <w:trHeight w:val="1361"/>
          <w:cantSplit/>
        </w:trPr>
        <w:tc>
          <w:tcPr>
            <w:tcW w:type="dxa" w:w="454"/>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pPr>
            <w:r>
              <w:t>15</w:t>
            </w:r>
          </w:p>
        </w:tc>
        <w:tc>
          <w:tcPr>
            <w:tcW w:type="dxa" w:w="10687"/>
            <w:vAlign w:val="center"/>
            <w:tcMar>
              <w:top w:w="55" w:type="dxa"/>
              <w:start w:w="70" w:type="dxa"/>
              <w:bottom w:w="55" w:type="dxa"/>
              <w:end w:w="70" w:type="dxa"/>
            </w:tcMar>
            <w:tcBorders>
              <w:top w:val="single" w:sz="5" w:color="808080"/>
              <w:left w:val="single" w:sz="5" w:color="808080"/>
              <w:bottom w:val="single" w:sz="5" w:color="808080"/>
              <w:right w:val="single" w:sz="5" w:color="808080"/>
            </w:tcBorders>
          </w:tcPr>
          <w:p>
            <w:pPr>
              <w:keepNext w:val="0"/>
              <w:keepLines/>
              <w:spacing w:after="0" w:before="0" w:line="240" w:lineRule="auto"/>
              <w:jc w:val="left"/>
            </w:pPr>
            <w:r>
              <w:rPr>
                <w:rFonts w:ascii="Arial" w:hAnsi="Arial"/>
                <w:b/>
                <w:color w:val="000000"/>
                <w:sz w:val="15"/>
              </w:rPr>
              <w:t xml:space="preserve">Legal Entity / Applicant: </w:t>
            </w:r>
            <w:r>
              <w:rPr>
                <w:rFonts w:ascii="Arial" w:hAnsi="Arial"/>
                <w:b w:val="0"/>
                <w:color w:val="C00000"/>
                <w:sz w:val="15"/>
              </w:rPr>
              <w:t>Ilam Provincial Department of Industry, Mine and Trade</w:t>
              <w:br/>
            </w:r>
            <w:r>
              <w:rPr>
                <w:rFonts w:ascii="Arial" w:hAnsi="Arial"/>
                <w:b/>
                <w:color w:val="000000"/>
                <w:sz w:val="15"/>
              </w:rPr>
              <w:t xml:space="preserve">Manager: </w:t>
            </w:r>
            <w:r>
              <w:rPr>
                <w:rFonts w:ascii="Arial" w:hAnsi="Arial"/>
                <w:b w:val="0"/>
                <w:color w:val="C00000"/>
                <w:sz w:val="15"/>
              </w:rPr>
              <w:t>Reza Mohammadrahimi</w:t>
              <w:br/>
            </w:r>
            <w:r>
              <w:rPr>
                <w:rFonts w:ascii="Arial" w:hAnsi="Arial"/>
                <w:b/>
                <w:color w:val="000000"/>
                <w:sz w:val="15"/>
              </w:rPr>
              <w:t xml:space="preserve">Phone / Fax: </w:t>
            </w:r>
            <w:r>
              <w:rPr>
                <w:rFonts w:ascii="Arial" w:hAnsi="Arial"/>
                <w:b w:val="0"/>
                <w:color w:val="C00000"/>
                <w:sz w:val="15"/>
              </w:rPr>
              <w:t>084-3228-1815     Address: Ilam – Shahid Beheshti Boulevard – Shahid Nourian Complex – Ilam Province     Website: www.ilm.mimt.gov.ir</w:t>
            </w:r>
          </w:p>
        </w:tc>
      </w:tr>
    </w:tbl>
    <w:p>
      <w:pPr>
        <w:jc w:val="center"/>
      </w:pPr>
      <w:r>
        <w:rPr>
          <w:rFonts w:ascii="Arial" w:hAnsi="Arial"/>
          <w:color w:val="787878"/>
          <w:sz w:val="13"/>
        </w:rPr>
        <w:t>English translation and layout recreation based on the supplied Persian investment-opportunity form.</w:t>
      </w:r>
    </w:p>
    <w:sectPr w:rsidR="00FC693F" w:rsidRPr="0006063C" w:rsidSect="00034616">
      <w:pgSz w:w="11906" w:h="16838"/>
      <w:pgMar w:top="312" w:right="369" w:bottom="312" w:left="36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