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751"/>
        <w:gridCol w:w="454"/>
      </w:tblGrid>
      <w:tr>
        <w:tc>
          <w:tcPr>
            <w:tcW w:type="dxa" w:w="10546"/>
            <w:gridSpan w:val="2"/>
            <w:shd w:fill="F2F2F2"/>
            <w:tcMar>
              <w:top w:w="100" w:type="dxa"/>
              <w:start w:w="100" w:type="dxa"/>
              <w:bottom w:w="100" w:type="dxa"/>
              <w:end w:w="100" w:type="dxa"/>
            </w:tcMar>
            <w:tcBorders>
              <w:top w:val="single" w:sz="8" w:color="777777"/>
              <w:left w:val="single" w:sz="8" w:color="777777"/>
              <w:bottom w:val="single" w:sz="8" w:color="777777"/>
              <w:right w:val="single" w:sz="8" w:color="777777"/>
            </w:tcBorders>
          </w:tcPr>
          <w:p>
            <w:pPr>
              <w:jc w:val="center"/>
            </w:pPr>
            <w:r>
              <w:rPr>
                <w:rFonts w:ascii="Arial" w:hAnsi="Arial"/>
                <w:b/>
                <w:sz w:val="22"/>
              </w:rPr>
              <w:t>INVESTMENT OPPORTUNITY WORKSHEET WITHOUT NAME (INVESTMENT-READY PROJECT)</w:t>
            </w:r>
          </w:p>
          <w:p>
            <w:pPr>
              <w:jc w:val="center"/>
            </w:pPr>
            <w:r>
              <w:rPr>
                <w:rFonts w:ascii="Arial" w:hAnsi="Arial"/>
                <w:b/>
                <w:sz w:val="18"/>
              </w:rPr>
              <w:t>Provincial Outlook of the Project Location in the Spatial Planning Document</w:t>
            </w:r>
          </w:p>
        </w:tc>
      </w:tr>
    </w:tbl>
    <w:tbl>
      <w:tblPr>
        <w:tblW w:type="auto" w:w="0"/>
        <w:jc w:val="center"/>
        <w:tblLayout w:type="fixed"/>
        <w:tblLook w:firstColumn="1" w:firstRow="1" w:lastColumn="0" w:lastRow="0" w:noHBand="0" w:noVBand="1" w:val="04A0"/>
      </w:tblPr>
      <w:tblGrid>
        <w:gridCol w:w="5273"/>
        <w:gridCol w:w="5273"/>
      </w:tblGrid>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Project Title: </w:t>
            </w:r>
            <w:r>
              <w:rPr>
                <w:rFonts w:ascii="Arial" w:hAnsi="Arial"/>
                <w:color w:val="BE0000"/>
                <w:sz w:val="17"/>
              </w:rPr>
              <w:t>Production of Fully Oriented Yarn (POY), ISIC Code 1711412461</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Economic Sector: </w:t>
            </w:r>
            <w:r>
              <w:rPr>
                <w:rFonts w:ascii="Arial" w:hAnsi="Arial"/>
                <w:color w:val="BE0000"/>
                <w:sz w:val="17"/>
              </w:rPr>
              <w:t>Industry</w:t>
            </w:r>
            <w:r>
              <w:br/>
            </w:r>
            <w:r>
              <w:rPr>
                <w:rFonts w:ascii="Arial" w:hAnsi="Arial"/>
                <w:b/>
                <w:color w:val="000000"/>
                <w:sz w:val="17"/>
              </w:rPr>
              <w:t xml:space="preserve">     Subsector: </w:t>
            </w:r>
            <w:r>
              <w:rPr>
                <w:rFonts w:ascii="Arial" w:hAnsi="Arial"/>
                <w:color w:val="BE0000"/>
                <w:sz w:val="17"/>
              </w:rPr>
              <w:t>Textile and Apparel</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2</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6"/>
              </w:rPr>
              <w:t xml:space="preserve">Project Description: </w:t>
            </w:r>
            <w:r>
              <w:rPr>
                <w:rFonts w:ascii="Arial" w:hAnsi="Arial"/>
                <w:color w:val="BE0000"/>
                <w:sz w:val="16"/>
              </w:rPr>
              <w:t>Today, clothing, like food and housing, is one of the basic human needs and accounts for a significant share of household expenditure (at least 5% of household income), making it one of the indicators of economic and social development in the country. One of the main reasons for the high demand for the textile industry is that it is an important industry that affects many other industries. With population growth and the continuing need for new clothing, this sector not only does not face declining demand, but we continue to witness increasing demand in domestic and foreign markets. At a time when countries around the world are seeking to increase exports by joining the World Trade Organization, the crisis facing most production centers and the decline in product quality have led governments to take measures to renovate old factories and establish new and modern factories. This can provide the facilities required by the industry to produce products of higher quality and quantity. The importance and necessity of modernizing and optimizing the country's textile industries through the import of modern and advanced machinery and new production lines is vital. Given the importance of the textile industry in the country and the substantial investment it attracts, special attention has been given to this industry from a technical and technological perspective. However, moving toward self-sufficiency and gaining a share of global markets will not be possible without adequate investment. Rather, through the use of new technology, together with the knowledge required for producing high-quality products at competitive prices, healthy competition with foreign products can be created. This makes the project particularly suitable for industries such as textiles and apparel, home textiles, clothing, socks and stockings, carpets, agricultural products, and filter production.</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3</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Feasibility Study: </w:t>
            </w:r>
            <w:r>
              <w:rPr>
                <w:rFonts w:ascii="Arial" w:hAnsi="Arial"/>
                <w:color w:val="BE0000"/>
                <w:sz w:val="17"/>
              </w:rPr>
              <w:t>According to the initial studies conducted by the Industrial Parks Company of Ilam Province, this project has been proposed.</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4</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Product / Service: </w:t>
            </w:r>
            <w:r>
              <w:rPr>
                <w:rFonts w:ascii="Arial" w:hAnsi="Arial"/>
                <w:color w:val="BE0000"/>
                <w:sz w:val="17"/>
              </w:rPr>
              <w:t>Fully Oriented Yarn (POY)</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5</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Project Location / Detailed Location: </w:t>
            </w:r>
            <w:r>
              <w:rPr>
                <w:rFonts w:ascii="Arial" w:hAnsi="Arial"/>
                <w:color w:val="BE0000"/>
                <w:sz w:val="17"/>
              </w:rPr>
              <w:t>Ilam Province, Ilam</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6</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Land Information: </w:t>
            </w:r>
            <w:r>
              <w:rPr>
                <w:rFonts w:ascii="Arial" w:hAnsi="Arial"/>
                <w:color w:val="BE0000"/>
                <w:sz w:val="17"/>
              </w:rPr>
              <w:t>Land area: 7,000 m²        Building area required: 285 m²</w:t>
            </w:r>
            <w:r>
              <w:br/>
            </w:r>
            <w:r>
              <w:rPr>
                <w:rFonts w:ascii="Arial" w:hAnsi="Arial"/>
                <w:color w:val="BE0000"/>
                <w:sz w:val="17"/>
              </w:rPr>
            </w:r>
            <w:r>
              <w:br/>
            </w:r>
            <w:r>
              <w:rPr>
                <w:rFonts w:ascii="Arial" w:hAnsi="Arial"/>
                <w:b/>
                <w:color w:val="000000"/>
                <w:sz w:val="17"/>
              </w:rPr>
              <w:t xml:space="preserve">Ownership: </w:t>
            </w:r>
            <w:r>
              <w:rPr>
                <w:rFonts w:ascii="Arial" w:hAnsi="Arial"/>
                <w:color w:val="BE0000"/>
                <w:sz w:val="17"/>
              </w:rPr>
              <w:t>Industrial Parks Company of the Province, in accordance with the regulations of the Industrial Parks Company, after issuance of the industrial establishment permit.</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7</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Required Utilities: </w:t>
            </w:r>
            <w:r>
              <w:rPr>
                <w:rFonts w:ascii="Arial" w:hAnsi="Arial"/>
                <w:color w:val="BE0000"/>
                <w:sz w:val="17"/>
              </w:rPr>
              <w:t>Water consumption: 26,000 m³/year        Electricity: 2,000 kW        Natural gas consumption: 80,000 m³/year</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8</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Required Permits and Inquiries: </w:t>
            </w:r>
            <w:r>
              <w:rPr>
                <w:rFonts w:ascii="Arial" w:hAnsi="Arial"/>
                <w:color w:val="BE0000"/>
                <w:sz w:val="17"/>
              </w:rPr>
              <w:t>Issuance of the industrial establishment permit by the Provincial Department of Industry, Mine and Trade (IMT), and provision of the required infrastructure by the Industrial Parks Company of Ilam Province.</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9</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Planned Production Capacity: </w:t>
            </w:r>
            <w:r>
              <w:rPr>
                <w:rFonts w:ascii="Arial" w:hAnsi="Arial"/>
                <w:color w:val="BE0000"/>
                <w:sz w:val="17"/>
              </w:rPr>
              <w:t>10,000 tons per year</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10</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Project Implementation Period: </w:t>
            </w:r>
            <w:r>
              <w:rPr>
                <w:rFonts w:ascii="Arial" w:hAnsi="Arial"/>
                <w:color w:val="BE0000"/>
                <w:sz w:val="17"/>
              </w:rPr>
              <w:t>25 months</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11</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Incentives and Applicable Advantages: </w:t>
            </w:r>
            <w:r>
              <w:rPr>
                <w:rFonts w:ascii="Arial" w:hAnsi="Arial"/>
                <w:b w:val="0"/>
                <w:color w:val="BE0000"/>
                <w:sz w:val="17"/>
              </w:rPr>
              <w:t>Tax exemptions</w:t>
            </w:r>
            <w:r>
              <w:br/>
            </w:r>
            <w:r>
              <w:rPr>
                <w:rFonts w:ascii="Arial" w:hAnsi="Arial"/>
                <w:b w:val="0"/>
                <w:color w:val="BE0000"/>
                <w:sz w:val="17"/>
              </w:rPr>
              <w:t>Use of bank facilities in case of resource provision, with priority</w:t>
            </w:r>
            <w:r>
              <w:br/>
            </w:r>
            <w:r>
              <w:rPr>
                <w:rFonts w:ascii="Arial" w:hAnsi="Arial"/>
                <w:b w:val="0"/>
                <w:color w:val="BE0000"/>
                <w:sz w:val="17"/>
              </w:rPr>
              <w:t>Special discounts on the required land price and long-term installment arrangements</w:t>
            </w:r>
            <w:r>
              <w:br/>
            </w:r>
            <w:r>
              <w:rPr>
                <w:rFonts w:ascii="Arial" w:hAnsi="Arial"/>
                <w:b w:val="0"/>
                <w:color w:val="BE0000"/>
                <w:sz w:val="17"/>
              </w:rPr>
              <w:t>Provision of the infrastructure required for the project in industrial parks of the province</w:t>
            </w:r>
            <w:r>
              <w:br/>
            </w:r>
            <w:r>
              <w:rPr>
                <w:rFonts w:ascii="Arial" w:hAnsi="Arial"/>
                <w:b w:val="0"/>
                <w:color w:val="BE0000"/>
                <w:sz w:val="17"/>
              </w:rPr>
              <w:t>Possibility of exporting the manufactured products, subject to the customs regulations of the Mehran International Border</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12</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Value of Machinery, Equipment and Technical Know-how Required: </w:t>
            </w:r>
            <w:r>
              <w:rPr>
                <w:rFonts w:ascii="Arial" w:hAnsi="Arial"/>
                <w:color w:val="BE0000"/>
                <w:sz w:val="17"/>
              </w:rPr>
              <w:t>USD 1 million</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13</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Projected Financial Structure: </w:t>
            </w:r>
            <w:r>
              <w:rPr>
                <w:rFonts w:ascii="Arial" w:hAnsi="Arial"/>
                <w:color w:val="BE0000"/>
                <w:sz w:val="17"/>
              </w:rPr>
              <w:t xml:space="preserve">Required domestic capital: equivalent to USD 1.7 million        Required foreign capital: — </w:t>
            </w:r>
            <w:r>
              <w:br/>
            </w:r>
            <w:r>
              <w:rPr>
                <w:rFonts w:ascii="Arial" w:hAnsi="Arial"/>
                <w:color w:val="BE0000"/>
                <w:sz w:val="17"/>
              </w:rPr>
              <w:t>Total required capital: equivalent to USD 3.6 million (USD 1.7 million fixed capital + USD 1.9 million working capital)</w:t>
            </w:r>
            <w:r>
              <w:br/>
            </w:r>
            <w:r>
              <w:rPr>
                <w:rFonts w:ascii="Arial" w:hAnsi="Arial"/>
                <w:color w:val="BE0000"/>
                <w:sz w:val="17"/>
              </w:rPr>
              <w:t>Net Present Value (NPV): IRR 915,618 million rials</w:t>
            </w:r>
            <w:r>
              <w:br/>
            </w:r>
            <w:r>
              <w:rPr>
                <w:rFonts w:ascii="Arial" w:hAnsi="Arial"/>
                <w:color w:val="BE0000"/>
                <w:sz w:val="17"/>
              </w:rPr>
              <w:t>Domestic rate of return: 26%        Payback period: 3.88 years</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14</w:t>
            </w:r>
          </w:p>
        </w:tc>
      </w:tr>
      <w:tr>
        <w:tc>
          <w:tcPr>
            <w:tcW w:type="dxa" w:w="9751"/>
            <w:vAlign w:val="center"/>
            <w:tcMar>
              <w:top w:w="70" w:type="dxa"/>
              <w:start w:w="100" w:type="dxa"/>
              <w:bottom w:w="70" w:type="dxa"/>
              <w:end w:w="100" w:type="dxa"/>
            </w:tcMar>
            <w:tcBorders>
              <w:top w:val="single" w:sz="5" w:color="999999"/>
              <w:left w:val="single" w:sz="5" w:color="999999"/>
              <w:bottom w:val="single" w:sz="5" w:color="999999"/>
              <w:right w:val="single" w:sz="5" w:color="999999"/>
            </w:tcBorders>
          </w:tcPr>
          <w:p>
            <w:pPr>
              <w:spacing w:after="20" w:line="240" w:lineRule="auto"/>
              <w:jc w:val="left"/>
            </w:pPr>
            <w:r>
              <w:rPr>
                <w:rFonts w:ascii="Arial" w:hAnsi="Arial"/>
                <w:b/>
                <w:color w:val="000000"/>
                <w:sz w:val="17"/>
              </w:rPr>
              <w:t xml:space="preserve">Proposing Entity for the Investment Opportunity (Unnamed): </w:t>
            </w:r>
            <w:r>
              <w:br/>
            </w:r>
            <w:r>
              <w:rPr>
                <w:rFonts w:ascii="Arial" w:hAnsi="Arial"/>
                <w:b/>
                <w:color w:val="000000"/>
                <w:sz w:val="17"/>
              </w:rPr>
              <w:t xml:space="preserve">Name (Legal/Individual): </w:t>
            </w:r>
            <w:r>
              <w:rPr>
                <w:rFonts w:ascii="Arial" w:hAnsi="Arial"/>
                <w:color w:val="BE0000"/>
                <w:sz w:val="17"/>
              </w:rPr>
              <w:t>Ilam Provincial Department of Industry, Mine and Trade        Manager: Reza Mohammad Rahimi</w:t>
            </w:r>
            <w:r>
              <w:br/>
            </w:r>
            <w:r>
              <w:rPr>
                <w:rFonts w:ascii="Arial" w:hAnsi="Arial"/>
                <w:color w:val="BE0000"/>
                <w:sz w:val="17"/>
              </w:rPr>
            </w:r>
            <w:r>
              <w:br/>
            </w:r>
            <w:r>
              <w:rPr>
                <w:rFonts w:ascii="Arial" w:hAnsi="Arial"/>
                <w:b/>
                <w:color w:val="000000"/>
                <w:sz w:val="17"/>
              </w:rPr>
              <w:t xml:space="preserve">Phone / Fax: </w:t>
            </w:r>
            <w:r>
              <w:rPr>
                <w:rFonts w:ascii="Arial" w:hAnsi="Arial"/>
                <w:color w:val="BE0000"/>
                <w:sz w:val="17"/>
              </w:rPr>
              <w:t>08432228125        Address: Ilam – Shahid Nourzi Boulevard – Shahid Opened Building        Website: www.ilm.mimt.gov.ir</w:t>
            </w:r>
          </w:p>
        </w:tc>
        <w:tc>
          <w:tcPr>
            <w:tcW w:type="dxa" w:w="454"/>
            <w:vAlign w:val="center"/>
            <w:shd w:fill="F8F8F8"/>
            <w:tcMar>
              <w:top w:w="80" w:type="dxa"/>
              <w:start w:w="50" w:type="dxa"/>
              <w:bottom w:w="80" w:type="dxa"/>
              <w:end w:w="50" w:type="dxa"/>
            </w:tcMar>
            <w:tcBorders>
              <w:top w:val="single" w:sz="5" w:color="999999"/>
              <w:left w:val="single" w:sz="5" w:color="999999"/>
              <w:bottom w:val="single" w:sz="5" w:color="999999"/>
              <w:right w:val="single" w:sz="5" w:color="999999"/>
            </w:tcBorders>
          </w:tcPr>
          <w:p>
            <w:pPr>
              <w:jc w:val="center"/>
            </w:pPr>
            <w:r>
              <w:t>15</w:t>
            </w:r>
          </w:p>
        </w:tc>
      </w:tr>
    </w:tbl>
    <w:p>
      <w:pPr>
        <w:jc w:val="center"/>
      </w:pPr>
      <w:r>
        <w:rPr>
          <w:i/>
          <w:color w:val="646464"/>
          <w:sz w:val="15"/>
        </w:rPr>
        <w:t>English translation prepared from the supplied Persian investment opportunity form.</w:t>
      </w:r>
    </w:p>
    <w:sectPr w:rsidR="00FC693F" w:rsidRPr="0006063C" w:rsidSect="00034616">
      <w:pgSz w:w="11906" w:h="16838"/>
      <w:pgMar w:top="567" w:right="680" w:bottom="567"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